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F4D" w:rsidRDefault="00801D91">
      <w:pPr>
        <w:ind w:firstLine="8505"/>
        <w:rPr>
          <w:sz w:val="28"/>
        </w:rPr>
      </w:pPr>
      <w:r>
        <w:rPr>
          <w:sz w:val="28"/>
        </w:rPr>
        <w:t xml:space="preserve">Приложение 19 </w:t>
      </w:r>
    </w:p>
    <w:p w:rsidR="00915F4D" w:rsidRDefault="00801D91">
      <w:pPr>
        <w:ind w:left="8504"/>
        <w:rPr>
          <w:sz w:val="28"/>
          <w:szCs w:val="28"/>
        </w:rPr>
      </w:pPr>
      <w:r>
        <w:rPr>
          <w:sz w:val="28"/>
          <w:szCs w:val="28"/>
        </w:rPr>
        <w:t xml:space="preserve">к Закону Оренбургской области </w:t>
      </w:r>
    </w:p>
    <w:p w:rsidR="00915F4D" w:rsidRDefault="00801D91">
      <w:pPr>
        <w:ind w:left="8504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915F4D" w:rsidRDefault="00801D91">
      <w:pPr>
        <w:ind w:left="8504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915F4D" w:rsidRDefault="00801D91">
      <w:pPr>
        <w:ind w:left="8504"/>
        <w:rPr>
          <w:sz w:val="28"/>
          <w:szCs w:val="28"/>
        </w:rPr>
      </w:pPr>
      <w:r>
        <w:rPr>
          <w:sz w:val="28"/>
          <w:szCs w:val="28"/>
        </w:rPr>
        <w:t>от 18 декабря 2024 года</w:t>
      </w:r>
    </w:p>
    <w:p w:rsidR="00915F4D" w:rsidRDefault="00801D91">
      <w:pPr>
        <w:ind w:left="8504"/>
        <w:rPr>
          <w:sz w:val="28"/>
          <w:szCs w:val="28"/>
        </w:rPr>
      </w:pPr>
      <w:r>
        <w:rPr>
          <w:sz w:val="28"/>
          <w:szCs w:val="28"/>
        </w:rPr>
        <w:t>№ 1366/584-</w:t>
      </w:r>
      <w:r>
        <w:rPr>
          <w:sz w:val="28"/>
          <w:szCs w:val="28"/>
          <w:lang w:val="en-US"/>
        </w:rPr>
        <w:t>VII</w:t>
      </w:r>
      <w:r w:rsidRPr="00801D91">
        <w:rPr>
          <w:sz w:val="28"/>
          <w:szCs w:val="28"/>
        </w:rPr>
        <w:t>-</w:t>
      </w:r>
      <w:r>
        <w:rPr>
          <w:sz w:val="28"/>
          <w:szCs w:val="28"/>
        </w:rPr>
        <w:t>ОЗ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редакции Закона Оренбургской 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 внесении изменений в 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Оренбургской области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 областном бюджете на 2025 год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на плановый период 2026 и 2027 годов»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</w:p>
    <w:p w:rsidR="00915F4D" w:rsidRDefault="00801D91">
      <w:pPr>
        <w:ind w:left="850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</w:t>
      </w:r>
      <w:bookmarkStart w:id="0" w:name="undefined"/>
      <w:bookmarkEnd w:id="0"/>
    </w:p>
    <w:p w:rsidR="00915F4D" w:rsidRDefault="00801D91">
      <w:pPr>
        <w:tabs>
          <w:tab w:val="left" w:pos="1276"/>
        </w:tabs>
        <w:ind w:left="8505"/>
        <w:jc w:val="both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 </w:t>
      </w:r>
    </w:p>
    <w:p w:rsidR="00915F4D" w:rsidRDefault="00801D9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15F4D" w:rsidRDefault="00801D9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внутренних заимствований Оренбургской области</w:t>
      </w:r>
    </w:p>
    <w:p w:rsidR="00915F4D" w:rsidRDefault="00801D9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 2026 и 2027 годов</w:t>
      </w:r>
    </w:p>
    <w:p w:rsidR="00801D91" w:rsidRDefault="00801D91">
      <w:pPr>
        <w:jc w:val="center"/>
        <w:rPr>
          <w:sz w:val="28"/>
          <w:szCs w:val="28"/>
        </w:rPr>
      </w:pPr>
    </w:p>
    <w:p w:rsidR="00915F4D" w:rsidRDefault="00801D91">
      <w:pPr>
        <w:ind w:right="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(тыс. ру</w:t>
      </w:r>
      <w:bookmarkStart w:id="1" w:name="_GoBack"/>
      <w:bookmarkEnd w:id="1"/>
      <w:r>
        <w:rPr>
          <w:sz w:val="28"/>
          <w:szCs w:val="28"/>
        </w:rPr>
        <w:t>блей)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1"/>
        <w:gridCol w:w="1846"/>
        <w:gridCol w:w="2046"/>
        <w:gridCol w:w="1800"/>
        <w:gridCol w:w="2000"/>
        <w:gridCol w:w="1854"/>
        <w:gridCol w:w="2000"/>
      </w:tblGrid>
      <w:tr w:rsidR="00915F4D">
        <w:trPr>
          <w:trHeight w:val="157"/>
          <w:tblHeader/>
        </w:trPr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срок погашения долговых обязательств</w:t>
            </w:r>
          </w:p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срок погашения долговых обязательств 2026 года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срок погашения долговых обязательств</w:t>
            </w:r>
          </w:p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года</w:t>
            </w: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-1 122 018,0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-244 666,0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5 755 334,0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915F4D">
        <w:trPr>
          <w:trHeight w:val="855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pStyle w:val="a3"/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Размещение государственных ценных бумаг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лет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лет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6 000 000,0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лет</w:t>
            </w: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pStyle w:val="a3"/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Погашение </w:t>
            </w:r>
            <w:r>
              <w:rPr>
                <w:bCs/>
                <w:sz w:val="28"/>
                <w:szCs w:val="28"/>
              </w:rPr>
              <w:lastRenderedPageBreak/>
              <w:t>государственных ценных бумаг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-1 122 018,0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-244 666,0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-244 666,0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Кредиты от кредитных организаций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16 700 000,0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5 000 000,0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-100 000,0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915F4D">
        <w:trPr>
          <w:trHeight w:hRule="exact" w:val="1327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numPr>
                <w:ilvl w:val="0"/>
                <w:numId w:val="1"/>
              </w:numPr>
              <w:tabs>
                <w:tab w:val="left" w:pos="459"/>
              </w:tabs>
              <w:ind w:left="0" w:firstLine="0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Привлечение кредитов от кредитных организаций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26 700 000,0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года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21 700 000,0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года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21 600 000,0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года</w:t>
            </w: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numPr>
                <w:ilvl w:val="0"/>
                <w:numId w:val="1"/>
              </w:numPr>
              <w:tabs>
                <w:tab w:val="left" w:pos="459"/>
              </w:tabs>
              <w:ind w:left="0" w:firstLine="0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Погашение кредитов, привлеченных от кредитных организаций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-10 000 000,0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-16 700 000,0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-21 700 000,0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Бюджетные кредиты из</w:t>
            </w:r>
            <w:r>
              <w:rPr>
                <w:b/>
                <w:bCs/>
                <w:sz w:val="28"/>
                <w:szCs w:val="28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1 500 082,8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363 120,9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-415 193,2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1. </w:t>
            </w:r>
            <w:r>
              <w:rPr>
                <w:color w:val="000000"/>
                <w:sz w:val="28"/>
                <w:szCs w:val="28"/>
              </w:rPr>
              <w:t xml:space="preserve">Привлечение кредитов из других бюджетов </w:t>
            </w:r>
            <w:r>
              <w:rPr>
                <w:color w:val="000000"/>
                <w:sz w:val="28"/>
                <w:szCs w:val="28"/>
              </w:rPr>
              <w:lastRenderedPageBreak/>
              <w:t>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10 280 751,6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соответствии  с бюджетным </w:t>
            </w:r>
            <w:r>
              <w:rPr>
                <w:sz w:val="28"/>
                <w:szCs w:val="28"/>
              </w:rPr>
              <w:lastRenderedPageBreak/>
              <w:t>законодатель-ством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1 313 494,3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соответствии  с бюджетным </w:t>
            </w:r>
            <w:r>
              <w:rPr>
                <w:sz w:val="28"/>
                <w:szCs w:val="28"/>
              </w:rPr>
              <w:lastRenderedPageBreak/>
              <w:t>законодатель-ством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698 091,0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соответствии  с бюджетным </w:t>
            </w:r>
            <w:r>
              <w:rPr>
                <w:sz w:val="28"/>
                <w:szCs w:val="28"/>
              </w:rPr>
              <w:lastRenderedPageBreak/>
              <w:t>законодатель-ством</w:t>
            </w: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pStyle w:val="ConsPlusNormal"/>
              <w:rPr>
                <w:bCs/>
              </w:rPr>
            </w:pPr>
            <w:r>
              <w:rPr>
                <w:bCs/>
              </w:rPr>
              <w:lastRenderedPageBreak/>
              <w:t xml:space="preserve">1.1. </w:t>
            </w:r>
            <w:r>
              <w:rPr>
                <w:color w:val="000000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8 000 000,0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19.12.2025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pStyle w:val="ConsPlusNormal"/>
              <w:rPr>
                <w:bCs/>
              </w:rPr>
            </w:pPr>
            <w:r>
              <w:rPr>
                <w:bCs/>
              </w:rPr>
              <w:t xml:space="preserve">1.2. </w:t>
            </w:r>
            <w:r>
              <w:rPr>
                <w:bCs/>
              </w:rPr>
              <w:t xml:space="preserve">Бюджетные кредиты, предоставленные бюджетам субъектов Российской Федерации на </w:t>
            </w:r>
            <w:r>
              <w:rPr>
                <w:bCs/>
              </w:rPr>
              <w:lastRenderedPageBreak/>
              <w:t>финансовое обеспечение реализации инфраструктурных проектов, возврат которых осуществляется субъектом Российской Федерации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2 280 751,6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лет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1 313 494,3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лет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698 091,0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801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лет</w:t>
            </w: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2. </w:t>
            </w:r>
            <w:r>
              <w:rPr>
                <w:color w:val="000000"/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-8 780 668,8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-950 373,4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 113 284,2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Бюджетные кредиты, предоставленные за </w:t>
            </w:r>
            <w:r>
              <w:rPr>
                <w:sz w:val="28"/>
                <w:szCs w:val="28"/>
              </w:rPr>
              <w:lastRenderedPageBreak/>
              <w:t>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-8 000 000,0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>
              <w:rPr>
                <w:sz w:val="28"/>
                <w:szCs w:val="28"/>
              </w:rPr>
              <w:t>Бюджетные кредиты, предоставленные бюджетам субъектов Российской Федерации на финансовое обеспечение реализации инфраструктурных проектов, возврат которых осуществляется субъектом Российской Федерации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-204 843,3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-374 547,9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-537 458,7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pStyle w:val="ConsPlusNormal"/>
              <w:rPr>
                <w:bCs/>
              </w:rPr>
            </w:pPr>
            <w:r>
              <w:rPr>
                <w:bCs/>
              </w:rPr>
              <w:t xml:space="preserve">2.3. </w:t>
            </w:r>
            <w:r>
              <w:rPr>
                <w:color w:val="000000"/>
              </w:rPr>
              <w:t xml:space="preserve">Специальные казначейские </w:t>
            </w:r>
            <w:r>
              <w:rPr>
                <w:color w:val="000000"/>
              </w:rPr>
              <w:lastRenderedPageBreak/>
              <w:t>кредиты, возврат которых осуществляется субъектом Российской Федерации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-49 697,7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-49 697,7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-49 697,7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</w:tr>
      <w:tr w:rsidR="00915F4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801D91">
            <w:pPr>
              <w:pStyle w:val="ConsPlusNormal"/>
              <w:rPr>
                <w:bCs/>
              </w:rPr>
            </w:pPr>
            <w:r>
              <w:rPr>
                <w:bCs/>
              </w:rPr>
              <w:t>2.4.</w:t>
            </w:r>
            <w:r>
              <w:t xml:space="preserve"> </w:t>
            </w:r>
            <w:r>
              <w:rPr>
                <w:bCs/>
              </w:rPr>
              <w:t>Пога</w:t>
            </w:r>
            <w:r>
              <w:rPr>
                <w:bCs/>
              </w:rPr>
              <w:t xml:space="preserve">шение бюджетных кредитов, предоставленных бюджетам субъектов Российской Федерации,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</w:t>
            </w:r>
            <w:r>
              <w:rPr>
                <w:bCs/>
              </w:rPr>
              <w:lastRenderedPageBreak/>
              <w:t>бюджетным кредитам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-526 127,8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-526 127,8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5F4D" w:rsidRDefault="00801D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-526  127,8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F4D" w:rsidRDefault="00915F4D">
            <w:pPr>
              <w:jc w:val="right"/>
              <w:rPr>
                <w:sz w:val="28"/>
                <w:szCs w:val="28"/>
              </w:rPr>
            </w:pPr>
          </w:p>
        </w:tc>
      </w:tr>
    </w:tbl>
    <w:p w:rsidR="00915F4D" w:rsidRDefault="00915F4D"/>
    <w:p w:rsidR="00915F4D" w:rsidRDefault="00801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финансирования дефицита областного бюджета, погашения долговых обязательств Оренбургской области, пополнения в течение финансового года остатков средств на счете бюджета</w:t>
      </w:r>
      <w:r>
        <w:rPr>
          <w:sz w:val="28"/>
          <w:szCs w:val="28"/>
        </w:rPr>
        <w:t>, а также в целях предоставления бюджетных кредитов местным бюджетам из областного бюджета осуществляются государственные внутренние заимствования путем размещения государственных ценных бумаг от имени Оренбургской области, привлечения бюджетных кредитов и</w:t>
      </w:r>
      <w:r>
        <w:rPr>
          <w:sz w:val="28"/>
          <w:szCs w:val="28"/>
        </w:rPr>
        <w:t>з других бюджетов бюджетной системы Российской Федерации и кредитов от кредитных организаций.</w:t>
      </w:r>
    </w:p>
    <w:p w:rsidR="00915F4D" w:rsidRDefault="00801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ходе исполнения областного бюджета возможно превышение предельного объема заимствований Оренбургской области в части привлечения бюджетного кред</w:t>
      </w:r>
      <w:r>
        <w:rPr>
          <w:sz w:val="28"/>
          <w:szCs w:val="28"/>
        </w:rPr>
        <w:t xml:space="preserve">ита за счет средств федерального бюджета на пополнение остатков средств на счете бюджета, </w:t>
      </w:r>
      <w:r>
        <w:rPr>
          <w:rFonts w:eastAsia="Calibri"/>
          <w:sz w:val="28"/>
          <w:szCs w:val="28"/>
          <w:lang w:eastAsia="en-US"/>
        </w:rPr>
        <w:t xml:space="preserve">а также в части </w:t>
      </w:r>
      <w:r>
        <w:rPr>
          <w:sz w:val="28"/>
          <w:szCs w:val="28"/>
        </w:rPr>
        <w:t xml:space="preserve">привлечения бюджетных кредитов </w:t>
      </w:r>
      <w:r>
        <w:rPr>
          <w:rFonts w:eastAsia="Calibri"/>
          <w:sz w:val="28"/>
          <w:szCs w:val="28"/>
          <w:lang w:eastAsia="en-US"/>
        </w:rPr>
        <w:t>из других бюджетов бюджетной системы Российской Федерации в валюте Российской Федерации.</w:t>
      </w:r>
    </w:p>
    <w:p w:rsidR="00915F4D" w:rsidRDefault="00915F4D">
      <w:pPr>
        <w:ind w:firstLine="708"/>
        <w:jc w:val="both"/>
        <w:rPr>
          <w:sz w:val="28"/>
          <w:szCs w:val="28"/>
        </w:rPr>
      </w:pPr>
    </w:p>
    <w:sectPr w:rsidR="00915F4D" w:rsidSect="00801D91">
      <w:headerReference w:type="default" r:id="rId7"/>
      <w:pgSz w:w="16838" w:h="11906" w:orient="landscape"/>
      <w:pgMar w:top="709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F4D" w:rsidRDefault="00801D91">
      <w:r>
        <w:separator/>
      </w:r>
    </w:p>
  </w:endnote>
  <w:endnote w:type="continuationSeparator" w:id="0">
    <w:p w:rsidR="00915F4D" w:rsidRDefault="0080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F4D" w:rsidRDefault="00801D91">
      <w:r>
        <w:separator/>
      </w:r>
    </w:p>
  </w:footnote>
  <w:footnote w:type="continuationSeparator" w:id="0">
    <w:p w:rsidR="00915F4D" w:rsidRDefault="00801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F4D" w:rsidRDefault="00801D9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57C9E"/>
    <w:multiLevelType w:val="multilevel"/>
    <w:tmpl w:val="45B830B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BDB7D26"/>
    <w:multiLevelType w:val="multilevel"/>
    <w:tmpl w:val="1BE80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5A1E0478"/>
    <w:multiLevelType w:val="hybridMultilevel"/>
    <w:tmpl w:val="5E24EB32"/>
    <w:lvl w:ilvl="0" w:tplc="7D9E780A">
      <w:start w:val="1"/>
      <w:numFmt w:val="decimal"/>
      <w:lvlText w:val="%1."/>
      <w:lvlJc w:val="left"/>
      <w:pPr>
        <w:ind w:left="360" w:hanging="360"/>
      </w:pPr>
    </w:lvl>
    <w:lvl w:ilvl="1" w:tplc="9D100CF8">
      <w:start w:val="1"/>
      <w:numFmt w:val="lowerLetter"/>
      <w:lvlText w:val="%2."/>
      <w:lvlJc w:val="left"/>
      <w:pPr>
        <w:ind w:left="1080" w:hanging="360"/>
      </w:pPr>
    </w:lvl>
    <w:lvl w:ilvl="2" w:tplc="ED569060">
      <w:start w:val="1"/>
      <w:numFmt w:val="lowerRoman"/>
      <w:lvlText w:val="%3."/>
      <w:lvlJc w:val="right"/>
      <w:pPr>
        <w:ind w:left="1800" w:hanging="180"/>
      </w:pPr>
    </w:lvl>
    <w:lvl w:ilvl="3" w:tplc="2B1A0ACA">
      <w:start w:val="1"/>
      <w:numFmt w:val="decimal"/>
      <w:lvlText w:val="%4."/>
      <w:lvlJc w:val="left"/>
      <w:pPr>
        <w:ind w:left="2520" w:hanging="360"/>
      </w:pPr>
    </w:lvl>
    <w:lvl w:ilvl="4" w:tplc="429020EC">
      <w:start w:val="1"/>
      <w:numFmt w:val="lowerLetter"/>
      <w:lvlText w:val="%5."/>
      <w:lvlJc w:val="left"/>
      <w:pPr>
        <w:ind w:left="3240" w:hanging="360"/>
      </w:pPr>
    </w:lvl>
    <w:lvl w:ilvl="5" w:tplc="43CC4EA4">
      <w:start w:val="1"/>
      <w:numFmt w:val="lowerRoman"/>
      <w:lvlText w:val="%6."/>
      <w:lvlJc w:val="right"/>
      <w:pPr>
        <w:ind w:left="3960" w:hanging="180"/>
      </w:pPr>
    </w:lvl>
    <w:lvl w:ilvl="6" w:tplc="3990D6B6">
      <w:start w:val="1"/>
      <w:numFmt w:val="decimal"/>
      <w:lvlText w:val="%7."/>
      <w:lvlJc w:val="left"/>
      <w:pPr>
        <w:ind w:left="4680" w:hanging="360"/>
      </w:pPr>
    </w:lvl>
    <w:lvl w:ilvl="7" w:tplc="947A7708">
      <w:start w:val="1"/>
      <w:numFmt w:val="lowerLetter"/>
      <w:lvlText w:val="%8."/>
      <w:lvlJc w:val="left"/>
      <w:pPr>
        <w:ind w:left="5400" w:hanging="360"/>
      </w:pPr>
    </w:lvl>
    <w:lvl w:ilvl="8" w:tplc="CACEBB06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4D"/>
    <w:rsid w:val="00801D91"/>
    <w:rsid w:val="0091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0321"/>
  <w15:docId w15:val="{40911C57-BFF7-493F-823A-127C599B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72" w:hanging="68"/>
      <w:jc w:val="center"/>
      <w:outlineLvl w:val="0"/>
    </w:pPr>
    <w:rPr>
      <w:b/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caps/>
      <w:sz w:val="24"/>
      <w:lang w:val="en-US" w:eastAsia="en-US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Century" w:hAnsi="Century"/>
      <w:b/>
      <w:caps/>
      <w:sz w:val="30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99"/>
    <w:qFormat/>
    <w:pPr>
      <w:widowControl w:val="0"/>
      <w:ind w:firstLine="720"/>
      <w:jc w:val="both"/>
    </w:pPr>
    <w:rPr>
      <w:sz w:val="28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firstLine="540"/>
      <w:jc w:val="both"/>
    </w:pPr>
    <w:rPr>
      <w:sz w:val="28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b/>
      <w:sz w:val="24"/>
    </w:rPr>
  </w:style>
  <w:style w:type="character" w:customStyle="1" w:styleId="20">
    <w:name w:val="Заголовок 2 Знак"/>
    <w:link w:val="2"/>
    <w:rPr>
      <w:b/>
      <w:caps/>
      <w:sz w:val="24"/>
    </w:rPr>
  </w:style>
  <w:style w:type="character" w:customStyle="1" w:styleId="30">
    <w:name w:val="Заголовок 3 Знак"/>
    <w:link w:val="3"/>
    <w:rPr>
      <w:rFonts w:ascii="Century" w:hAnsi="Century"/>
      <w:b/>
      <w:caps/>
      <w:sz w:val="30"/>
    </w:rPr>
  </w:style>
  <w:style w:type="character" w:customStyle="1" w:styleId="a8">
    <w:name w:val="Подзаголовок Знак"/>
    <w:link w:val="a7"/>
    <w:rPr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  <w:semiHidden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Каминкер</dc:creator>
  <cp:lastModifiedBy>Ренёв Владислав Олегович</cp:lastModifiedBy>
  <cp:revision>36</cp:revision>
  <cp:lastPrinted>2025-10-10T11:11:00Z</cp:lastPrinted>
  <dcterms:created xsi:type="dcterms:W3CDTF">2023-10-12T17:14:00Z</dcterms:created>
  <dcterms:modified xsi:type="dcterms:W3CDTF">2025-10-10T11:11:00Z</dcterms:modified>
  <cp:version>983040</cp:version>
</cp:coreProperties>
</file>